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4289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3" w:type="dxa"/>
        </w:tblCellMar>
        <w:tblLook w:val="0000"/>
      </w:tblPr>
      <w:tblGrid>
        <w:gridCol w:w="435"/>
        <w:gridCol w:w="1693"/>
        <w:gridCol w:w="2097"/>
        <w:gridCol w:w="1417"/>
        <w:gridCol w:w="1559"/>
        <w:gridCol w:w="1276"/>
        <w:gridCol w:w="1134"/>
        <w:gridCol w:w="992"/>
        <w:gridCol w:w="993"/>
        <w:gridCol w:w="1134"/>
        <w:gridCol w:w="1559"/>
      </w:tblGrid>
      <w:tr w:rsidR="006D39FA" w:rsidRPr="006D39FA" w:rsidTr="006D39FA">
        <w:trPr>
          <w:trHeight w:val="650"/>
        </w:trPr>
        <w:tc>
          <w:tcPr>
            <w:tcW w:w="435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693" w:type="dxa"/>
            <w:shd w:val="clear" w:color="auto" w:fill="FFFFFF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Przedmiot</w:t>
            </w:r>
          </w:p>
          <w:p w:rsidR="006D39FA" w:rsidRPr="006D39FA" w:rsidRDefault="006D39FA" w:rsidP="006D39FA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zamówienia</w:t>
            </w:r>
          </w:p>
        </w:tc>
        <w:tc>
          <w:tcPr>
            <w:tcW w:w="2097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Opis przedmiotu</w:t>
            </w:r>
          </w:p>
          <w:p w:rsidR="006D39FA" w:rsidRPr="006D39FA" w:rsidRDefault="006D39FA" w:rsidP="006D39FA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zamówienia</w:t>
            </w:r>
          </w:p>
        </w:tc>
        <w:tc>
          <w:tcPr>
            <w:tcW w:w="1417" w:type="dxa"/>
            <w:tcMar>
              <w:left w:w="103" w:type="dxa"/>
            </w:tcMar>
          </w:tcPr>
          <w:p w:rsidR="006D39FA" w:rsidRPr="006D39FA" w:rsidRDefault="006D39FA" w:rsidP="006D39FA">
            <w:pPr>
              <w:pStyle w:val="Nagwek3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Nazwa handlowa,</w:t>
            </w:r>
          </w:p>
          <w:p w:rsidR="006D39FA" w:rsidRPr="006D39FA" w:rsidRDefault="006D39FA" w:rsidP="006D39F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Producent,</w:t>
            </w:r>
          </w:p>
          <w:p w:rsidR="006D39FA" w:rsidRPr="006D39FA" w:rsidRDefault="006D39FA" w:rsidP="006D39F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nr katalogowy /jeżeli posiada/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pStyle w:val="Nagwek1"/>
              <w:ind w:left="0"/>
              <w:jc w:val="center"/>
              <w:rPr>
                <w:rFonts w:ascii="Bookman Old Style" w:hAnsi="Bookman Old Style"/>
                <w:b w:val="0"/>
                <w:bCs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b w:val="0"/>
                <w:bCs/>
                <w:sz w:val="18"/>
                <w:szCs w:val="18"/>
              </w:rPr>
              <w:t>Ilość</w:t>
            </w:r>
          </w:p>
          <w:p w:rsidR="006D39FA" w:rsidRPr="006D39FA" w:rsidRDefault="006D39FA" w:rsidP="006D39FA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bCs/>
                <w:sz w:val="18"/>
                <w:szCs w:val="18"/>
              </w:rPr>
              <w:t>(a)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 xml:space="preserve">Cena jednostkowa netto </w:t>
            </w:r>
          </w:p>
          <w:p w:rsidR="006D39FA" w:rsidRPr="006D39FA" w:rsidRDefault="006D39FA" w:rsidP="006D39F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(b)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Wartość netto</w:t>
            </w:r>
          </w:p>
          <w:p w:rsidR="006D39FA" w:rsidRPr="006D39FA" w:rsidRDefault="006D39FA" w:rsidP="006D39F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(a x b = c)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Stawka podatku VAT</w:t>
            </w:r>
          </w:p>
          <w:p w:rsidR="006D39FA" w:rsidRPr="006D39FA" w:rsidRDefault="006D39FA" w:rsidP="006D39F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Wartość podatku VAT ogółem</w:t>
            </w:r>
          </w:p>
          <w:p w:rsidR="006D39FA" w:rsidRPr="006D39FA" w:rsidRDefault="006D39FA" w:rsidP="006D39F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(d)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Wartość</w:t>
            </w:r>
          </w:p>
          <w:p w:rsidR="006D39FA" w:rsidRPr="006D39FA" w:rsidRDefault="006D39FA" w:rsidP="006D39F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brutto</w:t>
            </w:r>
          </w:p>
          <w:p w:rsidR="006D39FA" w:rsidRPr="006D39FA" w:rsidRDefault="006D39FA" w:rsidP="006D39F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Ogółem</w:t>
            </w:r>
          </w:p>
          <w:p w:rsidR="006D39FA" w:rsidRPr="006D39FA" w:rsidRDefault="006D39FA" w:rsidP="006D39F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(c + d)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Kod CPV</w:t>
            </w:r>
          </w:p>
        </w:tc>
      </w:tr>
      <w:tr w:rsidR="006D39FA" w:rsidRPr="006D39FA" w:rsidTr="006D39FA">
        <w:trPr>
          <w:trHeight w:val="650"/>
        </w:trPr>
        <w:tc>
          <w:tcPr>
            <w:tcW w:w="435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1</w:t>
            </w:r>
          </w:p>
        </w:tc>
        <w:tc>
          <w:tcPr>
            <w:tcW w:w="1693" w:type="dxa"/>
            <w:shd w:val="clear" w:color="auto" w:fill="FFFFFF"/>
            <w:tcMar>
              <w:left w:w="103" w:type="dxa"/>
            </w:tcMar>
          </w:tcPr>
          <w:p w:rsidR="006D39FA" w:rsidRPr="006D39FA" w:rsidRDefault="006D39FA" w:rsidP="006D39FA">
            <w:pPr>
              <w:pStyle w:val="Zawartotabeli"/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Szkiełka nakrywkowe</w:t>
            </w:r>
          </w:p>
        </w:tc>
        <w:tc>
          <w:tcPr>
            <w:tcW w:w="2097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 xml:space="preserve"> wym.: 24x60 (opakowanie 100 </w:t>
            </w:r>
            <w:proofErr w:type="spellStart"/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szt</w:t>
            </w:r>
            <w:proofErr w:type="spellEnd"/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)wysoka przezierność i brak barwy , brak zniekształcenia kolorów, wysoka optyczna homogeniczność-brak zabrudzeń, smug, pęcherzyków oraz pasków zakłócających obraz. Wysoka równość powierzchni. Szkiełka nakrywkowe pokryte substancją zapobiegającą ich wzajemnemu sklejaniu szkiełka wykonane ze szkła D26 M</w:t>
            </w:r>
          </w:p>
        </w:tc>
        <w:tc>
          <w:tcPr>
            <w:tcW w:w="1417" w:type="dxa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 xml:space="preserve"> 300</w:t>
            </w:r>
          </w:p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opakowań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33141000-0</w:t>
            </w:r>
          </w:p>
        </w:tc>
      </w:tr>
      <w:tr w:rsidR="006D39FA" w:rsidRPr="006D39FA" w:rsidTr="006D39FA">
        <w:tc>
          <w:tcPr>
            <w:tcW w:w="435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2</w:t>
            </w:r>
          </w:p>
        </w:tc>
        <w:tc>
          <w:tcPr>
            <w:tcW w:w="1693" w:type="dxa"/>
            <w:shd w:val="clear" w:color="auto" w:fill="FFFFFF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Szkiełka nakrywkowe</w:t>
            </w:r>
          </w:p>
        </w:tc>
        <w:tc>
          <w:tcPr>
            <w:tcW w:w="2097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wym. :24x50</w:t>
            </w:r>
          </w:p>
          <w:p w:rsidR="006D39FA" w:rsidRPr="006D39FA" w:rsidRDefault="006D39FA" w:rsidP="006D39FA">
            <w:pPr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 xml:space="preserve">(opakowanie 100 </w:t>
            </w:r>
            <w:proofErr w:type="spellStart"/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szt</w:t>
            </w:r>
            <w:proofErr w:type="spellEnd"/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)</w:t>
            </w:r>
          </w:p>
          <w:p w:rsidR="006D39FA" w:rsidRPr="006D39FA" w:rsidRDefault="006D39FA" w:rsidP="006D39FA">
            <w:pPr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 xml:space="preserve">Wysoka przezierność i brak barwy , brak zniekształcenia kolorów, wysoka optyczna homogeniczność-brak zabrudzeń, smug, pęcherzyków oraz pasków zakłócających obraz. </w:t>
            </w: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lastRenderedPageBreak/>
              <w:t>Wysoka równość powierzchni. Szkiełka nakrywkowe pokryte substancją zapobiegającą ich wzajemnemu sklejaniu. Szkiełka wykonane ze szkła D26 M</w:t>
            </w:r>
          </w:p>
        </w:tc>
        <w:tc>
          <w:tcPr>
            <w:tcW w:w="1417" w:type="dxa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200</w:t>
            </w:r>
          </w:p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opakowań</w:t>
            </w:r>
          </w:p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33141000-0</w:t>
            </w:r>
          </w:p>
        </w:tc>
      </w:tr>
      <w:tr w:rsidR="006D39FA" w:rsidRPr="006D39FA" w:rsidTr="006D39FA">
        <w:tc>
          <w:tcPr>
            <w:tcW w:w="435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693" w:type="dxa"/>
            <w:shd w:val="clear" w:color="auto" w:fill="FFFFFF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Szkiełka nakrywkowe</w:t>
            </w:r>
          </w:p>
        </w:tc>
        <w:tc>
          <w:tcPr>
            <w:tcW w:w="2097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 xml:space="preserve">wym.: 24x40 (opakowanie 100 </w:t>
            </w:r>
            <w:proofErr w:type="spellStart"/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szt</w:t>
            </w:r>
            <w:proofErr w:type="spellEnd"/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) Wysoka przezierność i brak barwy , brak zniekształcenia kolorów, wysoka optyczna homogeniczność-brak zabrudzeń, smug, pęcherzyków oraz pasków zakłócających obraz. Wysoka równość powierzchni. Szkiełka nakrywkowe pokryte substancją zapobiegającą ich wzajemnemu sklejaniu. Szkiełka wykonane ze szkła D26 M</w:t>
            </w:r>
          </w:p>
        </w:tc>
        <w:tc>
          <w:tcPr>
            <w:tcW w:w="1417" w:type="dxa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200</w:t>
            </w:r>
          </w:p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opakowań</w:t>
            </w:r>
          </w:p>
          <w:p w:rsidR="006D39FA" w:rsidRPr="006D39FA" w:rsidRDefault="006D39FA" w:rsidP="006D39FA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33141000-0</w:t>
            </w:r>
          </w:p>
        </w:tc>
      </w:tr>
      <w:tr w:rsidR="006D39FA" w:rsidRPr="006D39FA" w:rsidTr="006D39FA">
        <w:trPr>
          <w:trHeight w:val="668"/>
        </w:trPr>
        <w:tc>
          <w:tcPr>
            <w:tcW w:w="435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4</w:t>
            </w:r>
          </w:p>
        </w:tc>
        <w:tc>
          <w:tcPr>
            <w:tcW w:w="1693" w:type="dxa"/>
            <w:shd w:val="clear" w:color="auto" w:fill="FFFFFF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Szkiełka typu SUPER FROST PLUS</w:t>
            </w:r>
          </w:p>
        </w:tc>
        <w:tc>
          <w:tcPr>
            <w:tcW w:w="2097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 xml:space="preserve">opakowanie 72 </w:t>
            </w:r>
            <w:proofErr w:type="spellStart"/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szt</w:t>
            </w:r>
            <w:proofErr w:type="spellEnd"/>
          </w:p>
          <w:p w:rsidR="006D39FA" w:rsidRPr="006D39FA" w:rsidRDefault="006D39FA" w:rsidP="006D39FA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 xml:space="preserve">Szkiełka podstawowe adhezyjne o wym:25x75x1,0mm, ze szkła o podwyższonej przezierności. Brzegi szlifowane pod kątem 90 stopni, powierzchnia </w:t>
            </w: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lastRenderedPageBreak/>
              <w:t xml:space="preserve">pokryta dodatnimi ładunkami elektrostatycznymi aby preparaty były powiązane z powierzchnią szkiełka wiązaniami kowalencyjnymi. </w:t>
            </w:r>
          </w:p>
          <w:p w:rsidR="006D39FA" w:rsidRPr="006D39FA" w:rsidRDefault="006D39FA" w:rsidP="006D39FA">
            <w:pPr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417" w:type="dxa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800</w:t>
            </w:r>
          </w:p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opakowań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tabs>
                <w:tab w:val="center" w:pos="530"/>
              </w:tabs>
              <w:snapToGri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33141000-0</w:t>
            </w:r>
          </w:p>
        </w:tc>
      </w:tr>
      <w:tr w:rsidR="006D39FA" w:rsidRPr="006D39FA" w:rsidTr="006D39FA">
        <w:trPr>
          <w:trHeight w:val="668"/>
        </w:trPr>
        <w:tc>
          <w:tcPr>
            <w:tcW w:w="435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693" w:type="dxa"/>
            <w:shd w:val="clear" w:color="auto" w:fill="FFFFFF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Probówki szklane (płaskodenne)</w:t>
            </w:r>
          </w:p>
        </w:tc>
        <w:tc>
          <w:tcPr>
            <w:tcW w:w="2097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wym:1,9x 6,5cm</w:t>
            </w:r>
          </w:p>
        </w:tc>
        <w:tc>
          <w:tcPr>
            <w:tcW w:w="1417" w:type="dxa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100 sztuk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33141000-0</w:t>
            </w:r>
          </w:p>
        </w:tc>
      </w:tr>
      <w:tr w:rsidR="006D39FA" w:rsidRPr="006D39FA" w:rsidTr="006D39FA">
        <w:trPr>
          <w:trHeight w:val="668"/>
        </w:trPr>
        <w:tc>
          <w:tcPr>
            <w:tcW w:w="435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6</w:t>
            </w:r>
          </w:p>
        </w:tc>
        <w:tc>
          <w:tcPr>
            <w:tcW w:w="1693" w:type="dxa"/>
            <w:shd w:val="clear" w:color="auto" w:fill="FFFFFF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Zlewki  szklane</w:t>
            </w:r>
          </w:p>
        </w:tc>
        <w:tc>
          <w:tcPr>
            <w:tcW w:w="2097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Poj.150 ml</w:t>
            </w:r>
          </w:p>
        </w:tc>
        <w:tc>
          <w:tcPr>
            <w:tcW w:w="1417" w:type="dxa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5 sztuk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33793000-5</w:t>
            </w:r>
          </w:p>
        </w:tc>
      </w:tr>
      <w:tr w:rsidR="006D39FA" w:rsidRPr="006D39FA" w:rsidTr="006D39FA">
        <w:trPr>
          <w:trHeight w:val="668"/>
        </w:trPr>
        <w:tc>
          <w:tcPr>
            <w:tcW w:w="435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7</w:t>
            </w:r>
          </w:p>
        </w:tc>
        <w:tc>
          <w:tcPr>
            <w:tcW w:w="1693" w:type="dxa"/>
            <w:shd w:val="clear" w:color="auto" w:fill="FFFFFF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Cylinder miarowy</w:t>
            </w:r>
          </w:p>
        </w:tc>
        <w:tc>
          <w:tcPr>
            <w:tcW w:w="2097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Poj.250 ml</w:t>
            </w:r>
          </w:p>
        </w:tc>
        <w:tc>
          <w:tcPr>
            <w:tcW w:w="1417" w:type="dxa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5 sztuk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33793000-5</w:t>
            </w:r>
          </w:p>
        </w:tc>
      </w:tr>
      <w:tr w:rsidR="006D39FA" w:rsidRPr="006D39FA" w:rsidTr="006D39FA">
        <w:trPr>
          <w:trHeight w:val="668"/>
        </w:trPr>
        <w:tc>
          <w:tcPr>
            <w:tcW w:w="435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8</w:t>
            </w:r>
          </w:p>
        </w:tc>
        <w:tc>
          <w:tcPr>
            <w:tcW w:w="1693" w:type="dxa"/>
            <w:shd w:val="clear" w:color="auto" w:fill="FFFFFF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Zlewki  szklane</w:t>
            </w:r>
          </w:p>
        </w:tc>
        <w:tc>
          <w:tcPr>
            <w:tcW w:w="2097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Poj.1000 ml</w:t>
            </w:r>
          </w:p>
        </w:tc>
        <w:tc>
          <w:tcPr>
            <w:tcW w:w="1417" w:type="dxa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5 sztuk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33793000-5</w:t>
            </w:r>
          </w:p>
        </w:tc>
      </w:tr>
      <w:tr w:rsidR="006D39FA" w:rsidRPr="006D39FA" w:rsidTr="006D39FA">
        <w:trPr>
          <w:trHeight w:val="668"/>
        </w:trPr>
        <w:tc>
          <w:tcPr>
            <w:tcW w:w="435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9</w:t>
            </w:r>
          </w:p>
        </w:tc>
        <w:tc>
          <w:tcPr>
            <w:tcW w:w="1693" w:type="dxa"/>
            <w:shd w:val="clear" w:color="auto" w:fill="FFFFFF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Bagietki szklane</w:t>
            </w:r>
          </w:p>
        </w:tc>
        <w:tc>
          <w:tcPr>
            <w:tcW w:w="2097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 xml:space="preserve">Śred.6-5mm, </w:t>
            </w:r>
            <w:proofErr w:type="spellStart"/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dł</w:t>
            </w:r>
            <w:proofErr w:type="spellEnd"/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 xml:space="preserve"> 250mm</w:t>
            </w:r>
          </w:p>
        </w:tc>
        <w:tc>
          <w:tcPr>
            <w:tcW w:w="1417" w:type="dxa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15 sztuk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33793000-5</w:t>
            </w:r>
          </w:p>
        </w:tc>
      </w:tr>
      <w:tr w:rsidR="006D39FA" w:rsidRPr="006D39FA" w:rsidTr="006D39FA">
        <w:trPr>
          <w:trHeight w:val="668"/>
        </w:trPr>
        <w:tc>
          <w:tcPr>
            <w:tcW w:w="435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10</w:t>
            </w:r>
          </w:p>
        </w:tc>
        <w:tc>
          <w:tcPr>
            <w:tcW w:w="1693" w:type="dxa"/>
            <w:shd w:val="clear" w:color="auto" w:fill="FFFFFF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 xml:space="preserve">Kolba </w:t>
            </w:r>
            <w:proofErr w:type="spellStart"/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Erlenmeyera</w:t>
            </w:r>
            <w:proofErr w:type="spellEnd"/>
          </w:p>
        </w:tc>
        <w:tc>
          <w:tcPr>
            <w:tcW w:w="2097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Poj.1000ml</w:t>
            </w:r>
          </w:p>
        </w:tc>
        <w:tc>
          <w:tcPr>
            <w:tcW w:w="1417" w:type="dxa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5sztuk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33793000-5</w:t>
            </w:r>
          </w:p>
        </w:tc>
      </w:tr>
      <w:tr w:rsidR="006D39FA" w:rsidRPr="006D39FA" w:rsidTr="006D39FA">
        <w:trPr>
          <w:trHeight w:val="668"/>
        </w:trPr>
        <w:tc>
          <w:tcPr>
            <w:tcW w:w="435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11</w:t>
            </w:r>
          </w:p>
        </w:tc>
        <w:tc>
          <w:tcPr>
            <w:tcW w:w="1693" w:type="dxa"/>
            <w:shd w:val="clear" w:color="auto" w:fill="FFFFFF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Bibuła filtracyjna średnia</w:t>
            </w:r>
          </w:p>
        </w:tc>
        <w:tc>
          <w:tcPr>
            <w:tcW w:w="2097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 xml:space="preserve">wym:45x56cm (opakowanie 100 </w:t>
            </w:r>
            <w:proofErr w:type="spellStart"/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szt</w:t>
            </w:r>
            <w:proofErr w:type="spellEnd"/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2 opakowania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33141000-0</w:t>
            </w:r>
          </w:p>
        </w:tc>
      </w:tr>
      <w:tr w:rsidR="006D39FA" w:rsidRPr="006D39FA" w:rsidTr="006D39FA">
        <w:trPr>
          <w:trHeight w:val="668"/>
        </w:trPr>
        <w:tc>
          <w:tcPr>
            <w:tcW w:w="435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12</w:t>
            </w:r>
          </w:p>
        </w:tc>
        <w:tc>
          <w:tcPr>
            <w:tcW w:w="1693" w:type="dxa"/>
            <w:shd w:val="clear" w:color="auto" w:fill="FFFFFF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Sączki jakościowe</w:t>
            </w:r>
          </w:p>
        </w:tc>
        <w:tc>
          <w:tcPr>
            <w:tcW w:w="2097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filtr :185mm (opakowanie 100szt)</w:t>
            </w:r>
          </w:p>
        </w:tc>
        <w:tc>
          <w:tcPr>
            <w:tcW w:w="1417" w:type="dxa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6 opakowań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33141000-0</w:t>
            </w:r>
          </w:p>
        </w:tc>
      </w:tr>
      <w:tr w:rsidR="006D39FA" w:rsidRPr="006D39FA" w:rsidTr="006D39FA">
        <w:trPr>
          <w:trHeight w:val="495"/>
        </w:trPr>
        <w:tc>
          <w:tcPr>
            <w:tcW w:w="435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3790" w:type="dxa"/>
            <w:gridSpan w:val="2"/>
            <w:shd w:val="clear" w:color="auto" w:fill="FFFFFF"/>
            <w:tcMar>
              <w:left w:w="103" w:type="dxa"/>
            </w:tcMar>
          </w:tcPr>
          <w:p w:rsidR="006D39FA" w:rsidRPr="006D39FA" w:rsidRDefault="006D39FA" w:rsidP="006D39FA">
            <w:pPr>
              <w:pStyle w:val="Tekstwstpniesformatowany"/>
              <w:snapToGrid w:val="0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RAZEM:</w:t>
            </w:r>
          </w:p>
        </w:tc>
        <w:tc>
          <w:tcPr>
            <w:tcW w:w="1417" w:type="dxa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</w:tr>
    </w:tbl>
    <w:p w:rsidR="000364A0" w:rsidRPr="006D39FA" w:rsidRDefault="000364A0" w:rsidP="006D39FA">
      <w:pPr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0364A0" w:rsidRPr="006D39FA" w:rsidRDefault="000364A0" w:rsidP="006D39FA">
      <w:pPr>
        <w:spacing w:after="0" w:line="240" w:lineRule="auto"/>
        <w:rPr>
          <w:rFonts w:ascii="Bookman Old Style" w:hAnsi="Bookman Old Style" w:cs="Times New Roman"/>
          <w:sz w:val="18"/>
          <w:szCs w:val="18"/>
        </w:rPr>
      </w:pPr>
    </w:p>
    <w:sectPr w:rsidR="000364A0" w:rsidRPr="006D39FA" w:rsidSect="00CF43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38D" w:rsidRDefault="00CF438D" w:rsidP="006D39FA">
      <w:pPr>
        <w:spacing w:after="0" w:line="240" w:lineRule="auto"/>
      </w:pPr>
      <w:r>
        <w:separator/>
      </w:r>
    </w:p>
  </w:endnote>
  <w:endnote w:type="continuationSeparator" w:id="1">
    <w:p w:rsidR="00CF438D" w:rsidRDefault="00CF438D" w:rsidP="006D3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28D" w:rsidRDefault="00FA728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28D" w:rsidRDefault="00FA728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28D" w:rsidRDefault="00FA728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38D" w:rsidRDefault="00CF438D" w:rsidP="006D39FA">
      <w:pPr>
        <w:spacing w:after="0" w:line="240" w:lineRule="auto"/>
      </w:pPr>
      <w:r>
        <w:separator/>
      </w:r>
    </w:p>
  </w:footnote>
  <w:footnote w:type="continuationSeparator" w:id="1">
    <w:p w:rsidR="00CF438D" w:rsidRDefault="00CF438D" w:rsidP="006D3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28D" w:rsidRDefault="00FA728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E61" w:rsidRDefault="00DC7E61" w:rsidP="006D39FA">
    <w:pPr>
      <w:spacing w:after="0" w:line="360" w:lineRule="auto"/>
      <w:rPr>
        <w:rFonts w:ascii="Times New Roman" w:hAnsi="Times New Roman" w:cs="Times New Roman"/>
        <w:b/>
        <w:sz w:val="20"/>
        <w:szCs w:val="20"/>
      </w:rPr>
    </w:pPr>
  </w:p>
  <w:p w:rsidR="00FA728D" w:rsidRDefault="00FA728D" w:rsidP="006D39FA">
    <w:pPr>
      <w:spacing w:after="0" w:line="360" w:lineRule="auto"/>
      <w:rPr>
        <w:rFonts w:ascii="Times New Roman" w:hAnsi="Times New Roman" w:cs="Times New Roman"/>
        <w:b/>
        <w:sz w:val="20"/>
        <w:szCs w:val="20"/>
      </w:rPr>
    </w:pPr>
  </w:p>
  <w:p w:rsidR="00CF438D" w:rsidRDefault="00FA728D" w:rsidP="006D39FA">
    <w:pPr>
      <w:spacing w:after="0" w:line="360" w:lineRule="auto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Pakiet</w:t>
    </w:r>
    <w:r w:rsidR="00CF438D">
      <w:rPr>
        <w:rFonts w:ascii="Times New Roman" w:hAnsi="Times New Roman" w:cs="Times New Roman"/>
        <w:b/>
        <w:sz w:val="20"/>
        <w:szCs w:val="20"/>
      </w:rPr>
      <w:t xml:space="preserve"> 1: Sprzęt laboratoryjny.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28D" w:rsidRDefault="00FA728D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64A0"/>
    <w:rsid w:val="000364A0"/>
    <w:rsid w:val="006D39FA"/>
    <w:rsid w:val="00882C09"/>
    <w:rsid w:val="009B7379"/>
    <w:rsid w:val="00CF438D"/>
    <w:rsid w:val="00DC7E61"/>
    <w:rsid w:val="00E95152"/>
    <w:rsid w:val="00FA7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64A0"/>
    <w:pPr>
      <w:suppressAutoHyphens/>
      <w:spacing w:after="200" w:line="276" w:lineRule="auto"/>
    </w:pPr>
    <w:rPr>
      <w:rFonts w:ascii="Calibri" w:eastAsia="Times New Roman" w:hAnsi="Calibri" w:cs="Calibri"/>
      <w:sz w:val="22"/>
      <w:szCs w:val="22"/>
      <w:lang w:bidi="ar-SA"/>
    </w:rPr>
  </w:style>
  <w:style w:type="paragraph" w:styleId="Nagwek1">
    <w:name w:val="heading 1"/>
    <w:basedOn w:val="Normalny"/>
    <w:next w:val="Normalny"/>
    <w:link w:val="Nagwek1Znak"/>
    <w:qFormat/>
    <w:rsid w:val="006D39FA"/>
    <w:pPr>
      <w:keepNext/>
      <w:suppressAutoHyphens w:val="0"/>
      <w:spacing w:after="0" w:line="240" w:lineRule="auto"/>
      <w:ind w:left="567"/>
      <w:outlineLvl w:val="0"/>
    </w:pPr>
    <w:rPr>
      <w:rFonts w:ascii="Times New Roman" w:hAnsi="Times New Roman" w:cs="Times New Roman"/>
      <w:b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D39FA"/>
    <w:pPr>
      <w:keepNext/>
      <w:suppressAutoHyphens w:val="0"/>
      <w:spacing w:after="0" w:line="240" w:lineRule="auto"/>
      <w:jc w:val="center"/>
      <w:outlineLvl w:val="2"/>
    </w:pPr>
    <w:rPr>
      <w:rFonts w:ascii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agwek"/>
    <w:next w:val="Tekstpodstawowy"/>
    <w:qFormat/>
    <w:rsid w:val="000364A0"/>
    <w:pPr>
      <w:spacing w:after="120"/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customStyle="1" w:styleId="Heading3">
    <w:name w:val="Heading 3"/>
    <w:basedOn w:val="Nagwek"/>
    <w:next w:val="Tekstpodstawowy"/>
    <w:qFormat/>
    <w:rsid w:val="000364A0"/>
    <w:pPr>
      <w:spacing w:before="140" w:after="120"/>
      <w:outlineLvl w:val="2"/>
    </w:pPr>
    <w:rPr>
      <w:rFonts w:ascii="Liberation Serif" w:eastAsia="SimSun" w:hAnsi="Liberation Serif"/>
      <w:b/>
      <w:bCs/>
    </w:rPr>
  </w:style>
  <w:style w:type="character" w:customStyle="1" w:styleId="Domylnaczcionkaakapitu5">
    <w:name w:val="Domyślna czcionka akapitu5"/>
    <w:qFormat/>
    <w:rsid w:val="000364A0"/>
  </w:style>
  <w:style w:type="character" w:customStyle="1" w:styleId="Absatz-Standardschriftart">
    <w:name w:val="Absatz-Standardschriftart"/>
    <w:qFormat/>
    <w:rsid w:val="000364A0"/>
  </w:style>
  <w:style w:type="character" w:customStyle="1" w:styleId="WW-Absatz-Standardschriftart">
    <w:name w:val="WW-Absatz-Standardschriftart"/>
    <w:qFormat/>
    <w:rsid w:val="000364A0"/>
  </w:style>
  <w:style w:type="character" w:customStyle="1" w:styleId="WW-Absatz-Standardschriftart1">
    <w:name w:val="WW-Absatz-Standardschriftart1"/>
    <w:qFormat/>
    <w:rsid w:val="000364A0"/>
  </w:style>
  <w:style w:type="character" w:customStyle="1" w:styleId="Domylnaczcionkaakapitu4">
    <w:name w:val="Domyślna czcionka akapitu4"/>
    <w:qFormat/>
    <w:rsid w:val="000364A0"/>
  </w:style>
  <w:style w:type="character" w:customStyle="1" w:styleId="WW-Absatz-Standardschriftart11">
    <w:name w:val="WW-Absatz-Standardschriftart11"/>
    <w:qFormat/>
    <w:rsid w:val="000364A0"/>
  </w:style>
  <w:style w:type="character" w:customStyle="1" w:styleId="WW-Absatz-Standardschriftart111">
    <w:name w:val="WW-Absatz-Standardschriftart111"/>
    <w:qFormat/>
    <w:rsid w:val="000364A0"/>
  </w:style>
  <w:style w:type="character" w:customStyle="1" w:styleId="WW-Absatz-Standardschriftart1111">
    <w:name w:val="WW-Absatz-Standardschriftart1111"/>
    <w:qFormat/>
    <w:rsid w:val="000364A0"/>
  </w:style>
  <w:style w:type="character" w:customStyle="1" w:styleId="WW-Absatz-Standardschriftart11111">
    <w:name w:val="WW-Absatz-Standardschriftart11111"/>
    <w:qFormat/>
    <w:rsid w:val="000364A0"/>
  </w:style>
  <w:style w:type="character" w:customStyle="1" w:styleId="Domylnaczcionkaakapitu3">
    <w:name w:val="Domyślna czcionka akapitu3"/>
    <w:qFormat/>
    <w:rsid w:val="000364A0"/>
  </w:style>
  <w:style w:type="character" w:customStyle="1" w:styleId="WW-Absatz-Standardschriftart111111">
    <w:name w:val="WW-Absatz-Standardschriftart111111"/>
    <w:qFormat/>
    <w:rsid w:val="000364A0"/>
  </w:style>
  <w:style w:type="character" w:customStyle="1" w:styleId="Domylnaczcionkaakapitu2">
    <w:name w:val="Domyślna czcionka akapitu2"/>
    <w:qFormat/>
    <w:rsid w:val="000364A0"/>
  </w:style>
  <w:style w:type="character" w:customStyle="1" w:styleId="WW-Absatz-Standardschriftart1111111">
    <w:name w:val="WW-Absatz-Standardschriftart1111111"/>
    <w:qFormat/>
    <w:rsid w:val="000364A0"/>
  </w:style>
  <w:style w:type="character" w:customStyle="1" w:styleId="Domylnaczcionkaakapitu1">
    <w:name w:val="Domyślna czcionka akapitu1"/>
    <w:qFormat/>
    <w:rsid w:val="000364A0"/>
  </w:style>
  <w:style w:type="character" w:customStyle="1" w:styleId="Odwoaniedokomentarza1">
    <w:name w:val="Odwołanie do komentarza1"/>
    <w:basedOn w:val="Domylnaczcionkaakapitu1"/>
    <w:qFormat/>
    <w:rsid w:val="000364A0"/>
    <w:rPr>
      <w:sz w:val="16"/>
      <w:szCs w:val="16"/>
    </w:rPr>
  </w:style>
  <w:style w:type="character" w:customStyle="1" w:styleId="Znakiwypunktowania">
    <w:name w:val="Znaki wypunktowania"/>
    <w:qFormat/>
    <w:rsid w:val="000364A0"/>
    <w:rPr>
      <w:rFonts w:ascii="OpenSymbol" w:eastAsia="OpenSymbol" w:hAnsi="OpenSymbol" w:cs="OpenSymbol"/>
    </w:rPr>
  </w:style>
  <w:style w:type="paragraph" w:customStyle="1" w:styleId="Header">
    <w:name w:val="Header"/>
    <w:basedOn w:val="Normalny"/>
    <w:next w:val="Tekstpodstawowy"/>
    <w:rsid w:val="000364A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0364A0"/>
    <w:pPr>
      <w:widowControl w:val="0"/>
      <w:spacing w:after="120" w:line="240" w:lineRule="auto"/>
    </w:pPr>
    <w:rPr>
      <w:rFonts w:ascii="Times New Roman" w:eastAsia="Lucida Sans Unicode" w:hAnsi="Times New Roman" w:cs="Tahoma"/>
      <w:kern w:val="2"/>
      <w:sz w:val="24"/>
      <w:szCs w:val="24"/>
      <w:lang w:bidi="hi-IN"/>
    </w:rPr>
  </w:style>
  <w:style w:type="paragraph" w:styleId="Lista">
    <w:name w:val="List"/>
    <w:basedOn w:val="Tekstpodstawowy"/>
    <w:rsid w:val="000364A0"/>
    <w:rPr>
      <w:rFonts w:cs="Mangal"/>
    </w:rPr>
  </w:style>
  <w:style w:type="paragraph" w:customStyle="1" w:styleId="Caption">
    <w:name w:val="Caption"/>
    <w:basedOn w:val="Normalny"/>
    <w:qFormat/>
    <w:rsid w:val="000364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364A0"/>
    <w:pPr>
      <w:suppressLineNumbers/>
    </w:pPr>
    <w:rPr>
      <w:rFonts w:cs="Mangal"/>
    </w:rPr>
  </w:style>
  <w:style w:type="paragraph" w:customStyle="1" w:styleId="Nagwek5">
    <w:name w:val="Nagłówek5"/>
    <w:basedOn w:val="Normalny"/>
    <w:next w:val="Tekstpodstawowy"/>
    <w:qFormat/>
    <w:rsid w:val="000364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5">
    <w:name w:val="Podpis5"/>
    <w:basedOn w:val="Normalny"/>
    <w:qFormat/>
    <w:rsid w:val="000364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4">
    <w:name w:val="Nagłówek4"/>
    <w:basedOn w:val="Normalny"/>
    <w:next w:val="Tekstpodstawowy"/>
    <w:qFormat/>
    <w:rsid w:val="000364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qFormat/>
    <w:rsid w:val="000364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qFormat/>
    <w:rsid w:val="000364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qFormat/>
    <w:rsid w:val="000364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qFormat/>
    <w:rsid w:val="000364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qFormat/>
    <w:rsid w:val="000364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rsid w:val="000364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qFormat/>
    <w:rsid w:val="000364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Zawartotabeli">
    <w:name w:val="Zawartość tabeli"/>
    <w:basedOn w:val="Normalny"/>
    <w:qFormat/>
    <w:rsid w:val="000364A0"/>
    <w:pPr>
      <w:widowControl w:val="0"/>
      <w:suppressLineNumber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customStyle="1" w:styleId="Tekstwstpniesformatowany">
    <w:name w:val="Tekst wstępnie sformatowany"/>
    <w:basedOn w:val="Normalny"/>
    <w:qFormat/>
    <w:rsid w:val="000364A0"/>
    <w:pPr>
      <w:widowControl w:val="0"/>
      <w:spacing w:after="0" w:line="240" w:lineRule="auto"/>
    </w:pPr>
    <w:rPr>
      <w:rFonts w:ascii="Courier New" w:eastAsia="Courier New" w:hAnsi="Courier New" w:cs="Courier New"/>
      <w:kern w:val="2"/>
      <w:sz w:val="20"/>
      <w:szCs w:val="20"/>
      <w:lang w:bidi="hi-IN"/>
    </w:rPr>
  </w:style>
  <w:style w:type="paragraph" w:customStyle="1" w:styleId="Tekstkomentarza1">
    <w:name w:val="Tekst komentarza1"/>
    <w:basedOn w:val="Normalny"/>
    <w:qFormat/>
    <w:rsid w:val="000364A0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qFormat/>
    <w:rsid w:val="000364A0"/>
    <w:rPr>
      <w:b/>
      <w:bCs/>
    </w:rPr>
  </w:style>
  <w:style w:type="paragraph" w:styleId="Tekstdymka">
    <w:name w:val="Balloon Text"/>
    <w:basedOn w:val="Normalny"/>
    <w:qFormat/>
    <w:rsid w:val="000364A0"/>
    <w:rPr>
      <w:rFonts w:ascii="Tahoma" w:hAnsi="Tahoma" w:cs="Tahoma"/>
      <w:sz w:val="16"/>
      <w:szCs w:val="16"/>
    </w:rPr>
  </w:style>
  <w:style w:type="paragraph" w:customStyle="1" w:styleId="Nagwektabeli">
    <w:name w:val="Nagłówek tabeli"/>
    <w:basedOn w:val="Zawartotabeli"/>
    <w:qFormat/>
    <w:rsid w:val="000364A0"/>
    <w:pPr>
      <w:jc w:val="center"/>
    </w:pPr>
    <w:rPr>
      <w:b/>
      <w:bCs/>
    </w:rPr>
  </w:style>
  <w:style w:type="paragraph" w:styleId="Nagwek">
    <w:name w:val="header"/>
    <w:basedOn w:val="Normalny"/>
    <w:next w:val="Tekstpodstawowy"/>
    <w:qFormat/>
    <w:rsid w:val="000364A0"/>
    <w:pPr>
      <w:keepNext/>
      <w:spacing w:before="240" w:after="283"/>
    </w:pPr>
    <w:rPr>
      <w:rFonts w:ascii="Liberation Sans" w:eastAsia="Microsoft YaHei" w:hAnsi="Liberation Sans" w:cs="Mangal"/>
      <w:sz w:val="28"/>
      <w:szCs w:val="28"/>
    </w:rPr>
  </w:style>
  <w:style w:type="character" w:customStyle="1" w:styleId="Nagwek1Znak">
    <w:name w:val="Nagłówek 1 Znak"/>
    <w:basedOn w:val="Domylnaczcionkaakapitu"/>
    <w:link w:val="Nagwek1"/>
    <w:rsid w:val="006D39FA"/>
    <w:rPr>
      <w:rFonts w:ascii="Times New Roman" w:eastAsia="Times New Roman" w:hAnsi="Times New Roman" w:cs="Times New Roman"/>
      <w:b/>
      <w:sz w:val="28"/>
      <w:szCs w:val="20"/>
      <w:lang w:eastAsia="pl-PL" w:bidi="ar-SA"/>
    </w:rPr>
  </w:style>
  <w:style w:type="paragraph" w:styleId="Stopka">
    <w:name w:val="footer"/>
    <w:basedOn w:val="Normalny"/>
    <w:link w:val="StopkaZnak"/>
    <w:uiPriority w:val="99"/>
    <w:semiHidden/>
    <w:unhideWhenUsed/>
    <w:rsid w:val="006D3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D39FA"/>
    <w:rPr>
      <w:rFonts w:ascii="Calibri" w:eastAsia="Times New Roman" w:hAnsi="Calibri" w:cs="Calibri"/>
      <w:sz w:val="22"/>
      <w:szCs w:val="22"/>
      <w:lang w:bidi="ar-SA"/>
    </w:rPr>
  </w:style>
  <w:style w:type="character" w:customStyle="1" w:styleId="Nagwek3Znak">
    <w:name w:val="Nagłówek 3 Znak"/>
    <w:basedOn w:val="Domylnaczcionkaakapitu"/>
    <w:link w:val="Nagwek3"/>
    <w:rsid w:val="006D39FA"/>
    <w:rPr>
      <w:rFonts w:ascii="Times New Roman" w:eastAsia="Times New Roman" w:hAnsi="Times New Roman" w:cs="Times New Roman"/>
      <w:szCs w:val="20"/>
      <w:lang w:eastAsia="pl-PL" w:bidi="ar-SA"/>
    </w:rPr>
  </w:style>
  <w:style w:type="paragraph" w:styleId="Akapitzlist">
    <w:name w:val="List Paragraph"/>
    <w:basedOn w:val="Normalny"/>
    <w:uiPriority w:val="34"/>
    <w:qFormat/>
    <w:rsid w:val="006D39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Komórka organizacyjna: PRACOWNIA HISTOPATOLOGII</vt:lpstr>
    </vt:vector>
  </TitlesOfParts>
  <Company>Hewlett-Packard Company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Komórka organizacyjna: PRACOWNIA HISTOPATOLOGII</dc:title>
  <dc:creator>Histopatologia</dc:creator>
  <cp:lastModifiedBy>mbuksa</cp:lastModifiedBy>
  <cp:revision>5</cp:revision>
  <cp:lastPrinted>2018-08-14T08:13:00Z</cp:lastPrinted>
  <dcterms:created xsi:type="dcterms:W3CDTF">2018-08-08T07:37:00Z</dcterms:created>
  <dcterms:modified xsi:type="dcterms:W3CDTF">2018-08-14T08:15:00Z</dcterms:modified>
  <dc:language>pl-PL</dc:language>
</cp:coreProperties>
</file>