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0818C0">
        <w:rPr>
          <w:rFonts w:ascii="Verdana" w:hAnsi="Verdana" w:cs="Arial"/>
          <w:sz w:val="20"/>
          <w:szCs w:val="20"/>
        </w:rPr>
        <w:t>34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0818C0">
        <w:rPr>
          <w:rFonts w:ascii="Verdana" w:hAnsi="Verdana" w:cs="Arial"/>
          <w:sz w:val="20"/>
          <w:szCs w:val="20"/>
        </w:rPr>
        <w:t>30.10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0818C0">
        <w:rPr>
          <w:rFonts w:ascii="Verdana" w:hAnsi="Verdana" w:cs="Calibri"/>
          <w:b/>
        </w:rPr>
        <w:t>dostawę materiałów opatrunkowych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818C0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A219F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37B3-DB9B-4057-B7C8-80502A23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2019-07-31T10:11:00Z</cp:lastPrinted>
  <dcterms:created xsi:type="dcterms:W3CDTF">2019-11-04T08:55:00Z</dcterms:created>
  <dcterms:modified xsi:type="dcterms:W3CDTF">2020-10-30T10:45:00Z</dcterms:modified>
</cp:coreProperties>
</file>