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11" w:rsidRPr="00AA37B3" w:rsidRDefault="002C0B76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color w:val="081B32"/>
          <w:spacing w:val="12"/>
          <w:lang w:eastAsia="pl-PL"/>
        </w:rPr>
      </w:pPr>
      <w:r w:rsidRPr="00AA37B3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Wielkopolskie Centrum Pulmonologii i Torakochirurgii od wielu lat widnieje na ogólnopolskiej mapie ośrodków transplantacji płuc. Pierwsze przeszczepienie </w:t>
      </w:r>
      <w:r w:rsidR="00986D51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miało miejsce w naszym szpitalu</w:t>
      </w:r>
      <w:r w:rsidRPr="00AA37B3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 </w:t>
      </w:r>
      <w:r w:rsidR="00986D51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br/>
      </w:r>
      <w:r w:rsidRPr="00AA37B3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w 2015 roku. Program z roku na rok rozwijał się dynamicznie, jednak z powodu pandemii COVID-19 został zawieszony. Obecnie postanowiliśmy reaktywować Program Transplantacji Płuc</w:t>
      </w:r>
      <w:r w:rsidR="00986D51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. 23.01.</w:t>
      </w:r>
      <w:r w:rsidR="00F01611" w:rsidRPr="00AA37B3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2024 </w:t>
      </w:r>
      <w:r w:rsidR="00F01611" w:rsidRPr="00F01611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Wielkopolskie Centrum Pulmonologii i Torakochirurgii im. Eugenii i Janusza Zeylandów uzyskało pozwolenie Ministra Zdrowia na przechowywanie i przeszczepianie płuc od dawców zmarłych, na okres 5 lat.</w:t>
      </w:r>
      <w:r w:rsidR="00F01611" w:rsidRPr="00AA37B3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 </w:t>
      </w:r>
    </w:p>
    <w:p w:rsidR="00F01611" w:rsidRPr="00F01611" w:rsidRDefault="00F01611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color w:val="081B32"/>
          <w:spacing w:val="12"/>
          <w:lang w:eastAsia="pl-PL"/>
        </w:rPr>
      </w:pPr>
      <w:r w:rsidRPr="00AA37B3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Opiekę i  oficjalny patronat nad Programem Transplantacji Płuc w WCPiT objął </w:t>
      </w:r>
      <w:r w:rsidRPr="00AA37B3">
        <w:rPr>
          <w:rFonts w:asciiTheme="majorHAnsi" w:eastAsia="Times New Roman" w:hAnsiTheme="majorHAnsi" w:cstheme="majorHAnsi"/>
          <w:i/>
          <w:iCs/>
          <w:color w:val="081B32"/>
          <w:spacing w:val="12"/>
          <w:lang w:val="de-DE" w:eastAsia="pl-PL"/>
        </w:rPr>
        <w:t xml:space="preserve">Allgemeines Krankenhaus der Stadt Wien – AKH w Wiedniu – </w:t>
      </w:r>
      <w:r w:rsidRPr="00AA37B3">
        <w:rPr>
          <w:rFonts w:asciiTheme="majorHAnsi" w:eastAsia="Times New Roman" w:hAnsiTheme="majorHAnsi" w:cstheme="majorHAnsi"/>
          <w:i/>
          <w:iCs/>
          <w:color w:val="081B32"/>
          <w:spacing w:val="12"/>
          <w:lang w:eastAsia="pl-PL"/>
        </w:rPr>
        <w:t>obecnie uważany za najlepszy program Transplantacji Płuc na świecie.</w:t>
      </w:r>
      <w:r w:rsidRPr="00AA37B3">
        <w:rPr>
          <w:rFonts w:asciiTheme="majorHAnsi" w:eastAsia="Times New Roman" w:hAnsiTheme="majorHAnsi" w:cstheme="majorHAnsi"/>
          <w:i/>
          <w:iCs/>
          <w:color w:val="081B32"/>
          <w:spacing w:val="12"/>
          <w:lang w:val="de-DE" w:eastAsia="pl-PL"/>
        </w:rPr>
        <w:t xml:space="preserve"> </w:t>
      </w:r>
    </w:p>
    <w:p w:rsidR="002C0B76" w:rsidRDefault="002C0B76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</w:pPr>
    </w:p>
    <w:p w:rsidR="001337D9" w:rsidRPr="001337D9" w:rsidRDefault="001337D9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</w:pPr>
      <w:r w:rsidRPr="001337D9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 xml:space="preserve">Transplantacja płuc </w:t>
      </w:r>
      <w:r w:rsidRPr="008B3805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 xml:space="preserve">to procedura wykonywana u pacjentów </w:t>
      </w:r>
      <w:r w:rsidRPr="001337D9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 xml:space="preserve">z ciężkim i nieodwracalnym uszkodzeniem narządu, u których wyczerpane zostały </w:t>
      </w:r>
      <w:r w:rsidRPr="008B3805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 xml:space="preserve">wszelkie dostępne </w:t>
      </w:r>
      <w:r w:rsidRPr="001337D9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 xml:space="preserve">możliwości leczenia. </w:t>
      </w:r>
    </w:p>
    <w:p w:rsidR="001337D9" w:rsidRDefault="001337D9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color w:val="081B32"/>
          <w:spacing w:val="12"/>
          <w:lang w:eastAsia="pl-PL"/>
        </w:rPr>
      </w:pPr>
      <w:r w:rsidRPr="008B3805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Przeszczepienie płuc można zaproponować tym chorym</w:t>
      </w:r>
      <w:r w:rsidRPr="001337D9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, </w:t>
      </w:r>
      <w:r w:rsidRPr="008B3805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u </w:t>
      </w:r>
      <w:r w:rsidRPr="001337D9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któr</w:t>
      </w:r>
      <w:r w:rsidRPr="008B3805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ych</w:t>
      </w:r>
      <w:r w:rsidRPr="001337D9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 </w:t>
      </w:r>
      <w:r w:rsidRPr="008B3805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występuje wysokie ryzyko zgonu w ciągu </w:t>
      </w:r>
      <w:r w:rsidRPr="001337D9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najbliższych 2 lat </w:t>
      </w:r>
      <w:r w:rsidRPr="008B3805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z powodu choroby płuc i którzy mają wysokie prawdopodobieństwo przeżycia co najmniej 5 lat po przeszczepieniu.</w:t>
      </w:r>
      <w:r w:rsidRPr="001337D9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br/>
      </w:r>
    </w:p>
    <w:p w:rsidR="008B3805" w:rsidRDefault="008B3805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</w:pPr>
      <w:r w:rsidRPr="008B3805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 xml:space="preserve">Zgłoszenia potencjalnych biorców płuc </w:t>
      </w:r>
      <w:r w:rsidRPr="008B3805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dokonuje </w:t>
      </w:r>
      <w:r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lekarz</w:t>
      </w:r>
      <w:r w:rsidRPr="008B3805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 prowadząc</w:t>
      </w:r>
      <w:r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y poprzez wypełnienie </w:t>
      </w:r>
      <w:r w:rsidRPr="008B3805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i przesłanie </w:t>
      </w:r>
      <w:r w:rsidRPr="008B3805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>KART</w:t>
      </w:r>
      <w:r w:rsidR="007F43E0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>Y</w:t>
      </w:r>
      <w:r w:rsidRPr="008B3805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 xml:space="preserve"> ZGŁOSZENIA POTELNCJALNEGO BIORCY DO </w:t>
      </w:r>
      <w:r w:rsidR="007F43E0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>TRANSPLANTACJI</w:t>
      </w:r>
      <w:r w:rsidRPr="008B3805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 xml:space="preserve"> PŁUC</w:t>
      </w:r>
      <w:r w:rsidR="000A02B0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 xml:space="preserve"> (załącznik na dole strony)</w:t>
      </w:r>
      <w:r w:rsidR="007F43E0">
        <w:rPr>
          <w:rFonts w:asciiTheme="majorHAnsi" w:eastAsia="Times New Roman" w:hAnsiTheme="majorHAnsi" w:cstheme="majorHAnsi"/>
          <w:b/>
          <w:bCs/>
          <w:color w:val="081B32"/>
          <w:spacing w:val="12"/>
          <w:lang w:eastAsia="pl-PL"/>
        </w:rPr>
        <w:t xml:space="preserve"> </w:t>
      </w:r>
      <w:r w:rsidR="007F43E0" w:rsidRPr="007F43E0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wraz ze skierowaniem do Oddziału Chorób Płuc</w:t>
      </w:r>
      <w:r w:rsidR="000A02B0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 (kod 4272)</w:t>
      </w:r>
      <w:r w:rsidRPr="007F43E0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.</w:t>
      </w:r>
    </w:p>
    <w:p w:rsidR="008B3805" w:rsidRPr="0047552D" w:rsidRDefault="008B3805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color w:val="081B32"/>
          <w:spacing w:val="12"/>
          <w:lang w:eastAsia="pl-PL"/>
        </w:rPr>
      </w:pPr>
      <w:r w:rsidRPr="00986D51">
        <w:rPr>
          <w:rFonts w:asciiTheme="majorHAnsi" w:eastAsia="Times New Roman" w:hAnsiTheme="majorHAnsi" w:cstheme="majorHAnsi"/>
          <w:color w:val="081B32"/>
          <w:spacing w:val="12"/>
          <w:highlight w:val="yellow"/>
          <w:lang w:eastAsia="pl-PL"/>
        </w:rPr>
        <w:t xml:space="preserve">e-mail: </w:t>
      </w:r>
      <w:hyperlink r:id="rId6" w:history="1">
        <w:r w:rsidR="000A02B0" w:rsidRPr="00986D51">
          <w:rPr>
            <w:rStyle w:val="Hipercze"/>
            <w:rFonts w:asciiTheme="majorHAnsi" w:eastAsia="Times New Roman" w:hAnsiTheme="majorHAnsi" w:cstheme="majorHAnsi"/>
            <w:spacing w:val="12"/>
            <w:lang w:eastAsia="pl-PL"/>
          </w:rPr>
          <w:t>transplantacjapluc@wcpit.org</w:t>
        </w:r>
      </w:hyperlink>
    </w:p>
    <w:p w:rsidR="000A02B0" w:rsidRDefault="000A02B0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color w:val="081B32"/>
          <w:spacing w:val="12"/>
          <w:lang w:eastAsia="pl-PL"/>
        </w:rPr>
      </w:pPr>
      <w:r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Jesteśmy jednym z niewielu ośrodków tran</w:t>
      </w:r>
      <w:r w:rsidR="00986D51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splantacji płuc w Polsce, który</w:t>
      </w:r>
      <w:r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 ma możliwość kompleksowego przygotowania pacjenta do przeszczepu</w:t>
      </w:r>
      <w:r w:rsidR="002C0B76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. W ramach pobytu Pacjenta w naszym Ośrodku wykonujemy większość</w:t>
      </w:r>
      <w:r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 badań wymaganych podczas kwalifikacji. Dlatego też podczas zgłoszenia pacjenta do kwalifikacji prosimy o informację, które z dodatkowych badań Pacjent miał do tej pory wykonane. Pozwoli nam to lepiej zaplanować hospitalizację w naszym Ośrodku (lista badań wymieniona w karcie zgłoszeniowej).</w:t>
      </w:r>
    </w:p>
    <w:p w:rsidR="000A02B0" w:rsidRDefault="002856ED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color w:val="081B32"/>
          <w:spacing w:val="12"/>
          <w:lang w:eastAsia="pl-PL"/>
        </w:rPr>
      </w:pPr>
      <w:r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 xml:space="preserve">Przestrzegając zaleceń Międzynarodowego Towarzystwa Transplantacji Serca i Płuc prezentujemy przeciwwskazania i wskazania do kwalifikacji do transplantacji płuc. W przypadku jakichkolwiek pytań i wątpliwości prosimy o kontakt </w:t>
      </w:r>
    </w:p>
    <w:p w:rsidR="002856ED" w:rsidRDefault="002856ED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spacing w:val="12"/>
          <w:lang w:eastAsia="pl-PL"/>
        </w:rPr>
      </w:pPr>
      <w:r w:rsidRPr="00986D51">
        <w:rPr>
          <w:rFonts w:asciiTheme="majorHAnsi" w:eastAsia="Times New Roman" w:hAnsiTheme="majorHAnsi" w:cstheme="majorHAnsi"/>
          <w:color w:val="081B32"/>
          <w:spacing w:val="12"/>
          <w:highlight w:val="yellow"/>
          <w:lang w:eastAsia="pl-PL"/>
        </w:rPr>
        <w:t xml:space="preserve">e-mail: </w:t>
      </w:r>
      <w:hyperlink r:id="rId7" w:history="1">
        <w:r w:rsidRPr="00986D51">
          <w:rPr>
            <w:rStyle w:val="Hipercze"/>
            <w:rFonts w:asciiTheme="majorHAnsi" w:eastAsia="Times New Roman" w:hAnsiTheme="majorHAnsi" w:cstheme="majorHAnsi"/>
            <w:spacing w:val="12"/>
            <w:lang w:eastAsia="pl-PL"/>
          </w:rPr>
          <w:t>transplantacjapluc@wcpit.org</w:t>
        </w:r>
      </w:hyperlink>
    </w:p>
    <w:p w:rsidR="002856ED" w:rsidRDefault="002856ED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spacing w:val="12"/>
          <w:lang w:eastAsia="pl-PL"/>
        </w:rPr>
      </w:pPr>
      <w:r>
        <w:rPr>
          <w:rFonts w:asciiTheme="majorHAnsi" w:eastAsia="Times New Roman" w:hAnsiTheme="majorHAnsi" w:cstheme="majorHAnsi"/>
          <w:spacing w:val="12"/>
          <w:lang w:eastAsia="pl-PL"/>
        </w:rPr>
        <w:t>lub po</w:t>
      </w:r>
      <w:r w:rsidR="00986D51">
        <w:rPr>
          <w:rFonts w:asciiTheme="majorHAnsi" w:eastAsia="Times New Roman" w:hAnsiTheme="majorHAnsi" w:cstheme="majorHAnsi"/>
          <w:spacing w:val="12"/>
          <w:lang w:eastAsia="pl-PL"/>
        </w:rPr>
        <w:t>d</w:t>
      </w:r>
      <w:r>
        <w:rPr>
          <w:rFonts w:asciiTheme="majorHAnsi" w:eastAsia="Times New Roman" w:hAnsiTheme="majorHAnsi" w:cstheme="majorHAnsi"/>
          <w:spacing w:val="12"/>
          <w:lang w:eastAsia="pl-PL"/>
        </w:rPr>
        <w:t xml:space="preserve"> numerem telefonu</w:t>
      </w:r>
    </w:p>
    <w:p w:rsidR="002856ED" w:rsidRPr="0047552D" w:rsidRDefault="002856ED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color w:val="081B32"/>
          <w:spacing w:val="12"/>
          <w:lang w:eastAsia="pl-PL"/>
        </w:rPr>
      </w:pPr>
      <w:r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+48 732-431-246 dostępny w godzinach 7:30 – 15:30</w:t>
      </w:r>
    </w:p>
    <w:p w:rsidR="002856ED" w:rsidRPr="007F43E0" w:rsidRDefault="002856ED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color w:val="081B32"/>
          <w:spacing w:val="12"/>
          <w:lang w:eastAsia="pl-PL"/>
        </w:rPr>
      </w:pPr>
    </w:p>
    <w:p w:rsidR="001337D9" w:rsidRPr="008B3805" w:rsidRDefault="001337D9" w:rsidP="00986D51">
      <w:pPr>
        <w:spacing w:line="240" w:lineRule="auto"/>
        <w:jc w:val="left"/>
        <w:textAlignment w:val="baseline"/>
        <w:rPr>
          <w:rFonts w:asciiTheme="majorHAnsi" w:eastAsia="Times New Roman" w:hAnsiTheme="majorHAnsi" w:cstheme="majorHAnsi"/>
          <w:color w:val="081B32"/>
          <w:spacing w:val="12"/>
          <w:lang w:eastAsia="pl-PL"/>
        </w:rPr>
      </w:pPr>
      <w:r w:rsidRPr="001337D9">
        <w:rPr>
          <w:rFonts w:asciiTheme="majorHAnsi" w:eastAsia="Times New Roman" w:hAnsiTheme="majorHAnsi" w:cstheme="majorHAnsi"/>
          <w:b/>
          <w:bCs/>
          <w:color w:val="081B32"/>
          <w:spacing w:val="12"/>
          <w:bdr w:val="none" w:sz="0" w:space="0" w:color="auto" w:frame="1"/>
          <w:lang w:eastAsia="pl-PL"/>
        </w:rPr>
        <w:t>Przeciwwskazania do przeszczepu płuc</w:t>
      </w:r>
      <w:r w:rsidR="0047552D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:</w:t>
      </w:r>
      <w:r w:rsidR="00B4771E">
        <w:rPr>
          <w:rFonts w:asciiTheme="majorHAnsi" w:eastAsia="Times New Roman" w:hAnsiTheme="majorHAnsi" w:cstheme="majorHAnsi"/>
          <w:color w:val="081B32"/>
          <w:spacing w:val="12"/>
          <w:lang w:eastAsia="pl-PL"/>
        </w:rPr>
        <w:t>*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1. </w:t>
      </w:r>
      <w:r w:rsidRPr="008B3805">
        <w:rPr>
          <w:rFonts w:asciiTheme="majorHAnsi" w:hAnsiTheme="majorHAnsi" w:cstheme="majorHAnsi"/>
        </w:rPr>
        <w:t>Brak chęci lub zgody pacjenta na przeszczepienie.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>2. Nowotwór o wysokim ryzyku nawrotu lub zgonu.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>3. Wskaźnik eGFR &lt;40ml/min/1,73m2.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>4. Ostry zespół wieńcowy lub zawał mięśnia sercowego w ciągu ostatnich 30 dni.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 xml:space="preserve">5. Udar w ostatnich 4 tygodniach. 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>6. Marskość wątroby z nadciśnieniem wrotnym lub z dysfunkcją wydzielniczą.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lastRenderedPageBreak/>
        <w:t>7. Ostra niewydolność wątroby.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>8. Ostra niewydolność nerek z wzrostem stężenia kreatyniny lub wymagająca dializ z nikłym prawdopodobieństwem poprawy.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>9. Wstrząs septyczny.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>10. Aktywne zakażenie pozapłucne lub rozsiane.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>11. Aktywne zakażenie gruźlicze.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 xml:space="preserve">12. Zakażenie wirusem HIV z wykrywalną wiremią. 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>13. Ograniczony stan funkcjonalny ze słabym potencjałem do rehabilitacji po przeszczepieniu.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>14. Postępujące zaburzenia poznawcze.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>15. Powtarzające się epizody niestosowania się do zaleceń bez oznak poprawy.</w:t>
      </w:r>
    </w:p>
    <w:p w:rsidR="008B3805" w:rsidRPr="008B3805" w:rsidRDefault="008B3805" w:rsidP="00986D51">
      <w:pPr>
        <w:spacing w:line="240" w:lineRule="auto"/>
        <w:jc w:val="left"/>
        <w:rPr>
          <w:rFonts w:asciiTheme="majorHAnsi" w:hAnsiTheme="majorHAnsi" w:cstheme="majorHAnsi"/>
          <w:b/>
          <w:bCs/>
        </w:rPr>
      </w:pPr>
      <w:r w:rsidRPr="008B3805">
        <w:rPr>
          <w:rFonts w:asciiTheme="majorHAnsi" w:hAnsiTheme="majorHAnsi" w:cstheme="majorHAnsi"/>
        </w:rPr>
        <w:t>16. Czynne zażywanie lub uzależnienie od nikotyny i innych używek.</w:t>
      </w:r>
    </w:p>
    <w:p w:rsidR="008B3805" w:rsidRPr="008B3805" w:rsidRDefault="008B3805" w:rsidP="00986D51">
      <w:pPr>
        <w:spacing w:before="100" w:beforeAutospacing="1" w:after="100" w:afterAutospacing="1" w:line="240" w:lineRule="auto"/>
        <w:jc w:val="left"/>
        <w:textAlignment w:val="baseline"/>
        <w:rPr>
          <w:rFonts w:asciiTheme="majorHAnsi" w:hAnsiTheme="majorHAnsi" w:cstheme="majorHAnsi"/>
        </w:rPr>
      </w:pPr>
      <w:r w:rsidRPr="008B3805">
        <w:rPr>
          <w:rFonts w:asciiTheme="majorHAnsi" w:hAnsiTheme="majorHAnsi" w:cstheme="majorHAnsi"/>
        </w:rPr>
        <w:t>17. Inny ciężki niekontrolowany stan chorobowy, który może ograniczyć przeżycie po przeszczepie</w:t>
      </w:r>
      <w:r>
        <w:rPr>
          <w:rFonts w:asciiTheme="majorHAnsi" w:hAnsiTheme="majorHAnsi" w:cstheme="majorHAnsi"/>
        </w:rPr>
        <w:t>niu.</w:t>
      </w:r>
    </w:p>
    <w:p w:rsidR="008B3805" w:rsidRPr="008B3805" w:rsidRDefault="008B3805" w:rsidP="00986D51">
      <w:pPr>
        <w:spacing w:before="100" w:beforeAutospacing="1" w:after="100" w:afterAutospacing="1" w:line="240" w:lineRule="auto"/>
        <w:jc w:val="left"/>
        <w:textAlignment w:val="baseline"/>
        <w:rPr>
          <w:rFonts w:asciiTheme="majorHAnsi" w:hAnsiTheme="majorHAnsi" w:cstheme="majorHAnsi"/>
        </w:rPr>
      </w:pPr>
    </w:p>
    <w:tbl>
      <w:tblPr>
        <w:tblStyle w:val="PlainTable2"/>
        <w:tblW w:w="9438" w:type="dxa"/>
        <w:tblLook w:val="04A0"/>
      </w:tblPr>
      <w:tblGrid>
        <w:gridCol w:w="9438"/>
      </w:tblGrid>
      <w:tr w:rsidR="008B3805" w:rsidRPr="008B3805" w:rsidTr="001D3ED0">
        <w:trPr>
          <w:cnfStyle w:val="100000000000"/>
        </w:trPr>
        <w:tc>
          <w:tcPr>
            <w:cnfStyle w:val="001000000000"/>
            <w:tcW w:w="9438" w:type="dxa"/>
          </w:tcPr>
          <w:p w:rsidR="008B3805" w:rsidRPr="008B3805" w:rsidRDefault="008B3805" w:rsidP="00986D51">
            <w:pPr>
              <w:spacing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sz w:val="20"/>
                <w:szCs w:val="20"/>
              </w:rPr>
              <w:t>KRYTERIA SKIEROWANIA DLA POSZCZEGÓLNYCH JEDNOSTEK CHOROBOWYCH</w:t>
            </w:r>
            <w:r w:rsidR="00B4771E">
              <w:rPr>
                <w:rFonts w:asciiTheme="majorHAnsi" w:hAnsiTheme="majorHAnsi" w:cstheme="majorHAnsi"/>
                <w:sz w:val="20"/>
                <w:szCs w:val="20"/>
              </w:rPr>
              <w:t>*</w:t>
            </w:r>
          </w:p>
        </w:tc>
      </w:tr>
      <w:tr w:rsidR="008B3805" w:rsidRPr="008B3805" w:rsidTr="001D3ED0">
        <w:trPr>
          <w:cnfStyle w:val="000000100000"/>
        </w:trPr>
        <w:tc>
          <w:tcPr>
            <w:cnfStyle w:val="001000000000"/>
            <w:tcW w:w="9438" w:type="dxa"/>
          </w:tcPr>
          <w:p w:rsidR="008B3805" w:rsidRPr="008B3805" w:rsidRDefault="008B3805" w:rsidP="00986D51">
            <w:pPr>
              <w:spacing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sz w:val="20"/>
                <w:szCs w:val="20"/>
              </w:rPr>
              <w:t>PRZEWLEKŁA OBTURACYJNA CHOROBA PŁUC (POCHP)</w:t>
            </w:r>
          </w:p>
        </w:tc>
      </w:tr>
      <w:tr w:rsidR="008B3805" w:rsidRPr="008B3805" w:rsidTr="007F43E0">
        <w:trPr>
          <w:trHeight w:val="2479"/>
        </w:trPr>
        <w:tc>
          <w:tcPr>
            <w:cnfStyle w:val="001000000000"/>
            <w:tcW w:w="9438" w:type="dxa"/>
          </w:tcPr>
          <w:p w:rsidR="008B3805" w:rsidRPr="008B3805" w:rsidRDefault="008B3805" w:rsidP="00986D51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Wynik 5-6 w skali BODE z dodatkowym(i) czynnikiem(ami) sugerującym</w:t>
            </w:r>
            <w:r w:rsidR="00A81608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(i)</w:t>
            </w: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zwiększone ryzyko zgonu: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częste zaostrzenia,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wzrost BODE &gt; 1 w ciągu ostatnich 24 miesięcy,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stosunek średnicy tętnicy płucnej do średnicy aorty &gt; 1 w badaniu tomokomputerowym,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8"/>
              </w:num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FEV1 20-25% wn.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7"/>
              </w:numPr>
              <w:spacing w:line="240" w:lineRule="auto"/>
              <w:ind w:left="321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Pogorszenie stanu klinicznego pomimo maksymalnego leczenia obejmującego farmakoterapię, rehabilitację i tlenoterapię i nocną nieinwazyjną wentylację dodatnim ciśnieniem.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Niska jakość życia nie do zaakceptowania przez pacjenta.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W przypadku pacjenta, który jest kandydatem do bronchoskopowej lub chirurgicznej redukcji objętości płuc (LVR), właściwe jest jednoczesne skierowanie do przeszczepu płuca i oceny LVR.</w:t>
            </w:r>
          </w:p>
        </w:tc>
      </w:tr>
      <w:tr w:rsidR="008B3805" w:rsidRPr="008B3805" w:rsidTr="008B3805">
        <w:trPr>
          <w:cnfStyle w:val="000000100000"/>
          <w:trHeight w:val="382"/>
        </w:trPr>
        <w:tc>
          <w:tcPr>
            <w:cnfStyle w:val="001000000000"/>
            <w:tcW w:w="9438" w:type="dxa"/>
          </w:tcPr>
          <w:p w:rsidR="008B3805" w:rsidRPr="008B3805" w:rsidRDefault="008B3805" w:rsidP="00986D51">
            <w:pPr>
              <w:spacing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sz w:val="20"/>
                <w:szCs w:val="20"/>
              </w:rPr>
              <w:t>CHOROBY ŚRÓDMIĄŻSZOWE PŁUC (ILD)</w:t>
            </w:r>
          </w:p>
        </w:tc>
      </w:tr>
      <w:tr w:rsidR="008B3805" w:rsidRPr="008B3805" w:rsidTr="001D3ED0">
        <w:trPr>
          <w:trHeight w:val="3884"/>
        </w:trPr>
        <w:tc>
          <w:tcPr>
            <w:cnfStyle w:val="001000000000"/>
            <w:tcW w:w="9438" w:type="dxa"/>
          </w:tcPr>
          <w:p w:rsidR="008B3805" w:rsidRPr="008B3805" w:rsidRDefault="008B3805" w:rsidP="00986D51">
            <w:p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Skierowanie należy wystawić u pacjentów z rozpoznanym w badaniu histopatologicznym wzorcem UIP lub z radiograficznym pewnym lub prawdopodobnym wzorcem UIP, nawet jeśli leczenie jest dopiero rozpoczynane.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Każda postać PF-ILD z FVC &lt;80% lub DLCO &lt; 40%.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Każda postać PF-ILD z jednym z następujących w ciągu ostatnich 2 lat:</w:t>
            </w:r>
          </w:p>
          <w:p w:rsidR="008B3805" w:rsidRPr="008B3805" w:rsidRDefault="008B3805" w:rsidP="00986D51">
            <w:pPr>
              <w:spacing w:line="240" w:lineRule="auto"/>
              <w:ind w:left="457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○ względny spadek FVC 10% wn.,</w:t>
            </w:r>
          </w:p>
          <w:p w:rsidR="008B3805" w:rsidRPr="008B3805" w:rsidRDefault="008B3805" w:rsidP="00986D51">
            <w:pPr>
              <w:spacing w:line="240" w:lineRule="auto"/>
              <w:ind w:left="457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○ względny spadek DLCO 15% wn.,</w:t>
            </w:r>
          </w:p>
          <w:p w:rsidR="008B3805" w:rsidRPr="008B3805" w:rsidRDefault="008B3805" w:rsidP="00986D51">
            <w:pPr>
              <w:spacing w:line="240" w:lineRule="auto"/>
              <w:ind w:left="457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○ względny spadek FVC 5% wartości należnej z nasileniem objawów lub progresją radiologiczną.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Dodatkowe zapotrzebowanie na tlen w spoczynku lub podczas wysiłku.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W przypadku zapalnych postaci PF-ILD, progresja choroby (zarówno radiologiczna jak i pogorszenie czynności płuc) pomimo leczenia.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W przypadku pacjentów z chorobą tkanki łącznej lub rodzinnym zwłóknieniem płuc zaleca się wczesne </w:t>
            </w: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lastRenderedPageBreak/>
              <w:t>skierowanie, ponieważ objawy pozapłucne mogą wymagać szczególnej uwagi.</w:t>
            </w:r>
          </w:p>
        </w:tc>
      </w:tr>
      <w:tr w:rsidR="008B3805" w:rsidRPr="008B3805" w:rsidTr="001D3ED0">
        <w:trPr>
          <w:cnfStyle w:val="000000100000"/>
        </w:trPr>
        <w:tc>
          <w:tcPr>
            <w:cnfStyle w:val="001000000000"/>
            <w:tcW w:w="9438" w:type="dxa"/>
          </w:tcPr>
          <w:p w:rsidR="008B3805" w:rsidRPr="008B3805" w:rsidRDefault="008B3805" w:rsidP="00986D51">
            <w:pPr>
              <w:spacing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MUKOWISCYDOZA (CF)</w:t>
            </w:r>
          </w:p>
        </w:tc>
      </w:tr>
      <w:tr w:rsidR="008B3805" w:rsidRPr="008B3805" w:rsidTr="001D3ED0">
        <w:trPr>
          <w:trHeight w:val="699"/>
        </w:trPr>
        <w:tc>
          <w:tcPr>
            <w:cnfStyle w:val="001000000000"/>
            <w:tcW w:w="9438" w:type="dxa"/>
          </w:tcPr>
          <w:p w:rsidR="008B3805" w:rsidRPr="008B3805" w:rsidRDefault="008B3805" w:rsidP="00986D51">
            <w:p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Spełnienie któregokolwiek z poniższych kryteriów (pomimo optymalnego postępowania medycznego, w tym próby leczenia modulatorami):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FEV1 &lt; 30%wn. u dorosłych (lub &lt; 40% u dzieci).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FEV1 &lt; 40%wn. u dorosłych (lub &lt; 50% u dzieci) oraz którekolwiek z poniższych: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dystans &lt;400 metrów w 6MWT,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PaCO2 &gt; 50 mmHg,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hipoksemia w spoczynku lub podczas wysiłku,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nadciśnienie płucne,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pogorszenie stanu odżywienia pomimo suplementacji,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2 zaostrzenia na rok wymagające dożylnych antybiotyków,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masywne krwioplucie (&gt;240 ml) wymagające embolizacji tętnicy oskrzelowej,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5"/>
              </w:numPr>
              <w:spacing w:line="240" w:lineRule="auto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odma opłucnowa.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FEV1 &lt;50% z zauważanym szybkim spadkiem wydolności płuc lub nasilonym postępem objawów.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4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Każde zaostrzenie wymagające wentylacji z dodatnim ciśnieniem.</w:t>
            </w:r>
          </w:p>
        </w:tc>
      </w:tr>
      <w:tr w:rsidR="008B3805" w:rsidRPr="008B3805" w:rsidTr="001D3ED0">
        <w:trPr>
          <w:cnfStyle w:val="000000100000"/>
        </w:trPr>
        <w:tc>
          <w:tcPr>
            <w:cnfStyle w:val="001000000000"/>
            <w:tcW w:w="9438" w:type="dxa"/>
          </w:tcPr>
          <w:p w:rsidR="008B3805" w:rsidRPr="008B3805" w:rsidRDefault="008B3805" w:rsidP="00986D51">
            <w:pPr>
              <w:spacing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sz w:val="20"/>
                <w:szCs w:val="20"/>
              </w:rPr>
              <w:t>TĘTNICZE NADCIŚNIENIE PŁUCNE (PAH)</w:t>
            </w:r>
          </w:p>
        </w:tc>
      </w:tr>
      <w:tr w:rsidR="008B3805" w:rsidRPr="008B3805" w:rsidTr="001D3ED0">
        <w:trPr>
          <w:trHeight w:val="1266"/>
        </w:trPr>
        <w:tc>
          <w:tcPr>
            <w:cnfStyle w:val="001000000000"/>
            <w:tcW w:w="9438" w:type="dxa"/>
          </w:tcPr>
          <w:p w:rsidR="008B3805" w:rsidRPr="008B3805" w:rsidRDefault="008B3805" w:rsidP="00986D51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umiarkowane lub duże ryzyko według kryteriów ESC/ERS lub wynik REVEAL≥8 pomimo odpowiedniego leczenia farmakologicznego.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Istotna dysfunkcja RV pomimo odpowiedniej terapii.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Konieczność leczenia prostacykliną dożylną lub podskórną.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Choroba postępująca pomimo odpowiedniego leczenia lub niedawne hospitalizacje z powodu pogorszenia.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Znane lub podejrzewane warianty wysokiego ryzyka, takie jak PVOD/PCH, twardzina układowa, duże i postępujące tętniaki tętnicy płucnej.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Objawy wtórnej dysfunkcji wątroby lub nerek.</w:t>
            </w:r>
          </w:p>
          <w:p w:rsidR="008B3805" w:rsidRPr="008B3805" w:rsidRDefault="008B3805" w:rsidP="00986D51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15"/>
              <w:jc w:val="left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8B380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Potencjalnie zagrażające życiu powikłania, takie jak nawracające krwioplucie.</w:t>
            </w:r>
          </w:p>
        </w:tc>
      </w:tr>
    </w:tbl>
    <w:p w:rsidR="008B3805" w:rsidRDefault="008B3805" w:rsidP="00986D51">
      <w:pPr>
        <w:spacing w:before="100" w:beforeAutospacing="1" w:after="100" w:afterAutospacing="1" w:line="240" w:lineRule="auto"/>
        <w:jc w:val="left"/>
        <w:textAlignment w:val="baseline"/>
        <w:rPr>
          <w:rFonts w:asciiTheme="majorHAnsi" w:hAnsiTheme="majorHAnsi" w:cstheme="majorHAnsi"/>
        </w:rPr>
      </w:pPr>
    </w:p>
    <w:p w:rsidR="00B4771E" w:rsidRDefault="00B4771E" w:rsidP="00986D51">
      <w:pPr>
        <w:spacing w:before="100" w:beforeAutospacing="1" w:after="100" w:afterAutospacing="1" w:line="240" w:lineRule="auto"/>
        <w:jc w:val="left"/>
        <w:textAlignment w:val="baseline"/>
        <w:rPr>
          <w:rFonts w:asciiTheme="majorHAnsi" w:hAnsiTheme="majorHAnsi" w:cstheme="majorHAnsi"/>
        </w:rPr>
      </w:pPr>
    </w:p>
    <w:p w:rsidR="00B4771E" w:rsidRPr="00986D51" w:rsidRDefault="00B4771E" w:rsidP="00986D51">
      <w:pPr>
        <w:spacing w:before="100" w:beforeAutospacing="1" w:after="0" w:line="240" w:lineRule="auto"/>
        <w:jc w:val="left"/>
        <w:textAlignment w:val="baseline"/>
        <w:rPr>
          <w:rFonts w:asciiTheme="majorHAnsi" w:hAnsiTheme="majorHAnsi" w:cstheme="majorHAnsi"/>
          <w:lang w:val="en-GB"/>
        </w:rPr>
      </w:pPr>
      <w:r w:rsidRPr="00986D51">
        <w:rPr>
          <w:rFonts w:asciiTheme="majorHAnsi" w:hAnsiTheme="majorHAnsi" w:cstheme="majorHAnsi"/>
          <w:lang w:val="en-GB"/>
        </w:rPr>
        <w:t>Na podstawie:</w:t>
      </w:r>
    </w:p>
    <w:p w:rsidR="00B4771E" w:rsidRPr="00B4771E" w:rsidRDefault="00B4771E" w:rsidP="00986D51">
      <w:pPr>
        <w:spacing w:after="0" w:line="240" w:lineRule="auto"/>
        <w:jc w:val="left"/>
        <w:textAlignment w:val="baseline"/>
        <w:rPr>
          <w:rFonts w:ascii="Calibri Light" w:hAnsi="Calibri Light" w:cs="Calibri Light"/>
        </w:rPr>
      </w:pPr>
      <w:r w:rsidRPr="00B4771E">
        <w:rPr>
          <w:rFonts w:ascii="Calibri Light" w:hAnsi="Calibri Light" w:cs="Calibri Light"/>
          <w:shd w:val="clear" w:color="auto" w:fill="FFFFFF"/>
          <w:lang w:val="en-GB"/>
        </w:rPr>
        <w:t xml:space="preserve">*Leard LE, Holm AM, Valapour M, et al. Consensus document for the selection of lung transplant candidates: An update from the International Society for Heart and Lung Transplantation. </w:t>
      </w:r>
      <w:r w:rsidRPr="00B4771E">
        <w:rPr>
          <w:rFonts w:ascii="Calibri Light" w:hAnsi="Calibri Light" w:cs="Calibri Light"/>
          <w:shd w:val="clear" w:color="auto" w:fill="FFFFFF"/>
        </w:rPr>
        <w:t>J Heart Lung Transplant. 2021; 40(11): 1349–1379, doi: 10.1016/j.healun.2021.07.005</w:t>
      </w:r>
    </w:p>
    <w:sectPr w:rsidR="00B4771E" w:rsidRPr="00B4771E" w:rsidSect="00B4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8E6"/>
    <w:multiLevelType w:val="multilevel"/>
    <w:tmpl w:val="CDBA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D6A38"/>
    <w:multiLevelType w:val="hybridMultilevel"/>
    <w:tmpl w:val="63DC8A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4723"/>
    <w:multiLevelType w:val="hybridMultilevel"/>
    <w:tmpl w:val="0216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E3B6A"/>
    <w:multiLevelType w:val="hybridMultilevel"/>
    <w:tmpl w:val="34807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E74CB"/>
    <w:multiLevelType w:val="multilevel"/>
    <w:tmpl w:val="CCA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D5B9A"/>
    <w:multiLevelType w:val="multilevel"/>
    <w:tmpl w:val="F0A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D1B0B"/>
    <w:multiLevelType w:val="hybridMultilevel"/>
    <w:tmpl w:val="0DEA4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17BC0"/>
    <w:multiLevelType w:val="hybridMultilevel"/>
    <w:tmpl w:val="7832A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827BE"/>
    <w:multiLevelType w:val="multilevel"/>
    <w:tmpl w:val="D120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D4FD5"/>
    <w:multiLevelType w:val="hybridMultilevel"/>
    <w:tmpl w:val="BC00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15F67"/>
    <w:multiLevelType w:val="multilevel"/>
    <w:tmpl w:val="5CD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3698D"/>
    <w:multiLevelType w:val="hybridMultilevel"/>
    <w:tmpl w:val="C9B019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3703C"/>
    <w:multiLevelType w:val="hybridMultilevel"/>
    <w:tmpl w:val="68A2AD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F3F09"/>
    <w:multiLevelType w:val="hybridMultilevel"/>
    <w:tmpl w:val="7FA8C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77E21"/>
    <w:multiLevelType w:val="hybridMultilevel"/>
    <w:tmpl w:val="28967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D5755"/>
    <w:multiLevelType w:val="hybridMultilevel"/>
    <w:tmpl w:val="08760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935E7"/>
    <w:multiLevelType w:val="hybridMultilevel"/>
    <w:tmpl w:val="10167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D0AD4"/>
    <w:multiLevelType w:val="multilevel"/>
    <w:tmpl w:val="2286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12"/>
  </w:num>
  <w:num w:numId="9">
    <w:abstractNumId w:val="13"/>
  </w:num>
  <w:num w:numId="10">
    <w:abstractNumId w:val="11"/>
  </w:num>
  <w:num w:numId="11">
    <w:abstractNumId w:val="3"/>
  </w:num>
  <w:num w:numId="12">
    <w:abstractNumId w:val="15"/>
  </w:num>
  <w:num w:numId="13">
    <w:abstractNumId w:val="7"/>
  </w:num>
  <w:num w:numId="14">
    <w:abstractNumId w:val="16"/>
  </w:num>
  <w:num w:numId="15">
    <w:abstractNumId w:val="1"/>
  </w:num>
  <w:num w:numId="16">
    <w:abstractNumId w:val="9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337D9"/>
    <w:rsid w:val="000A02B0"/>
    <w:rsid w:val="001337D9"/>
    <w:rsid w:val="002856ED"/>
    <w:rsid w:val="002C0B76"/>
    <w:rsid w:val="00312CC0"/>
    <w:rsid w:val="0047552D"/>
    <w:rsid w:val="004A2841"/>
    <w:rsid w:val="0065587F"/>
    <w:rsid w:val="007F43E0"/>
    <w:rsid w:val="008B3805"/>
    <w:rsid w:val="00986D51"/>
    <w:rsid w:val="00A81608"/>
    <w:rsid w:val="00AA37B3"/>
    <w:rsid w:val="00B4771E"/>
    <w:rsid w:val="00B47F87"/>
    <w:rsid w:val="00F0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7D9"/>
  </w:style>
  <w:style w:type="paragraph" w:styleId="Nagwek1">
    <w:name w:val="heading 1"/>
    <w:basedOn w:val="Normalny"/>
    <w:next w:val="Normalny"/>
    <w:link w:val="Nagwek1Znak"/>
    <w:uiPriority w:val="9"/>
    <w:qFormat/>
    <w:rsid w:val="001337D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37D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37D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37D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37D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37D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37D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37D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37D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37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1337D9"/>
    <w:rPr>
      <w:b/>
      <w:color w:val="ED7D31" w:themeColor="accent2"/>
    </w:rPr>
  </w:style>
  <w:style w:type="character" w:customStyle="1" w:styleId="apple-converted-space">
    <w:name w:val="apple-converted-space"/>
    <w:basedOn w:val="Domylnaczcionkaakapitu"/>
    <w:rsid w:val="001337D9"/>
  </w:style>
  <w:style w:type="table" w:customStyle="1" w:styleId="PlainTable2">
    <w:name w:val="Plain Table 2"/>
    <w:basedOn w:val="Standardowy"/>
    <w:uiPriority w:val="42"/>
    <w:rsid w:val="001337D9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337D9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37D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37D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37D9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37D9"/>
    <w:rPr>
      <w:smallCaps/>
      <w:color w:val="C45911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37D9"/>
    <w:rPr>
      <w:smallCaps/>
      <w:color w:val="ED7D31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37D9"/>
    <w:rPr>
      <w:b/>
      <w:smallCaps/>
      <w:color w:val="ED7D31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37D9"/>
    <w:rPr>
      <w:b/>
      <w:i/>
      <w:smallCaps/>
      <w:color w:val="C45911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37D9"/>
    <w:rPr>
      <w:b/>
      <w:i/>
      <w:smallCaps/>
      <w:color w:val="823B0B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337D9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337D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337D9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37D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337D9"/>
    <w:rPr>
      <w:rFonts w:asciiTheme="majorHAnsi" w:eastAsiaTheme="majorEastAsia" w:hAnsiTheme="majorHAnsi" w:cstheme="majorBidi"/>
      <w:szCs w:val="22"/>
    </w:rPr>
  </w:style>
  <w:style w:type="character" w:styleId="Uwydatnienie">
    <w:name w:val="Emphasis"/>
    <w:uiPriority w:val="20"/>
    <w:qFormat/>
    <w:rsid w:val="001337D9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1337D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337D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337D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337D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37D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37D9"/>
    <w:rPr>
      <w:b/>
      <w:i/>
      <w:color w:val="FFFFFF" w:themeColor="background1"/>
      <w:shd w:val="clear" w:color="auto" w:fill="ED7D31" w:themeFill="accent2"/>
    </w:rPr>
  </w:style>
  <w:style w:type="character" w:styleId="Wyrnieniedelikatne">
    <w:name w:val="Subtle Emphasis"/>
    <w:uiPriority w:val="19"/>
    <w:qFormat/>
    <w:rsid w:val="001337D9"/>
    <w:rPr>
      <w:i/>
    </w:rPr>
  </w:style>
  <w:style w:type="character" w:styleId="Wyrnienieintensywne">
    <w:name w:val="Intense Emphasis"/>
    <w:uiPriority w:val="21"/>
    <w:qFormat/>
    <w:rsid w:val="001337D9"/>
    <w:rPr>
      <w:b/>
      <w:i/>
      <w:color w:val="ED7D31" w:themeColor="accent2"/>
      <w:spacing w:val="10"/>
    </w:rPr>
  </w:style>
  <w:style w:type="character" w:styleId="Odwoaniedelikatne">
    <w:name w:val="Subtle Reference"/>
    <w:uiPriority w:val="31"/>
    <w:qFormat/>
    <w:rsid w:val="001337D9"/>
    <w:rPr>
      <w:b/>
    </w:rPr>
  </w:style>
  <w:style w:type="character" w:styleId="Odwoanieintensywne">
    <w:name w:val="Intense Reference"/>
    <w:uiPriority w:val="32"/>
    <w:qFormat/>
    <w:rsid w:val="001337D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1337D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337D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7D9"/>
  </w:style>
  <w:style w:type="character" w:styleId="Hipercze">
    <w:name w:val="Hyperlink"/>
    <w:basedOn w:val="Domylnaczcionkaakapitu"/>
    <w:uiPriority w:val="99"/>
    <w:unhideWhenUsed/>
    <w:rsid w:val="008B380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38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3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nsplantacjapluc@wcp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nsplantacjapluc@wcp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7F00E8-5DF0-4FD2-907A-1F5AAE99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Fryderyk Zawadzki</dc:creator>
  <cp:lastModifiedBy>mantoniewicz</cp:lastModifiedBy>
  <cp:revision>2</cp:revision>
  <cp:lastPrinted>2024-05-23T10:17:00Z</cp:lastPrinted>
  <dcterms:created xsi:type="dcterms:W3CDTF">2024-05-27T10:35:00Z</dcterms:created>
  <dcterms:modified xsi:type="dcterms:W3CDTF">2024-05-27T10:35:00Z</dcterms:modified>
</cp:coreProperties>
</file>